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359"/>
      </w:tblGrid>
      <w:tr w:rsidR="00F601A1" w:rsidRPr="00500CAC" w:rsidTr="003E5D5D">
        <w:trPr>
          <w:trHeight w:val="1025"/>
        </w:trPr>
        <w:tc>
          <w:tcPr>
            <w:tcW w:w="1369" w:type="dxa"/>
            <w:vAlign w:val="center"/>
          </w:tcPr>
          <w:p w:rsidR="00F601A1" w:rsidRPr="00500CAC" w:rsidRDefault="00F601A1"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項目編號</w:t>
            </w:r>
          </w:p>
        </w:tc>
        <w:tc>
          <w:tcPr>
            <w:tcW w:w="8359" w:type="dxa"/>
            <w:vAlign w:val="center"/>
          </w:tcPr>
          <w:p w:rsidR="00F601A1" w:rsidRPr="00500CAC" w:rsidRDefault="00F601A1" w:rsidP="003E5D5D">
            <w:pPr>
              <w:jc w:val="both"/>
              <w:rPr>
                <w:rFonts w:ascii="標楷體" w:eastAsia="標楷體" w:hAnsi="標楷體"/>
                <w:color w:val="000000" w:themeColor="text1"/>
                <w:sz w:val="28"/>
              </w:rPr>
            </w:pPr>
            <w:r w:rsidRPr="00500CAC">
              <w:rPr>
                <w:rFonts w:ascii="標楷體" w:eastAsia="標楷體" w:hAnsi="標楷體" w:cs="新細明體" w:hint="eastAsia"/>
                <w:color w:val="000000" w:themeColor="text1"/>
                <w:kern w:val="0"/>
                <w:sz w:val="28"/>
                <w:szCs w:val="28"/>
              </w:rPr>
              <w:t>D0202</w:t>
            </w:r>
          </w:p>
        </w:tc>
      </w:tr>
      <w:tr w:rsidR="00F601A1" w:rsidRPr="00500CAC" w:rsidTr="003E5D5D">
        <w:trPr>
          <w:trHeight w:val="1044"/>
        </w:trPr>
        <w:tc>
          <w:tcPr>
            <w:tcW w:w="1369" w:type="dxa"/>
            <w:vAlign w:val="center"/>
          </w:tcPr>
          <w:p w:rsidR="00F601A1" w:rsidRPr="00500CAC" w:rsidRDefault="00F601A1"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項目名稱</w:t>
            </w:r>
          </w:p>
        </w:tc>
        <w:tc>
          <w:tcPr>
            <w:tcW w:w="8359" w:type="dxa"/>
            <w:vAlign w:val="center"/>
          </w:tcPr>
          <w:p w:rsidR="00F601A1" w:rsidRPr="00500CAC" w:rsidRDefault="00F601A1" w:rsidP="003E5D5D">
            <w:pPr>
              <w:ind w:leftChars="-15" w:left="-36" w:firstLine="16"/>
              <w:jc w:val="both"/>
              <w:rPr>
                <w:rFonts w:ascii="標楷體" w:eastAsia="標楷體" w:hAnsi="標楷體"/>
                <w:bCs/>
                <w:color w:val="000000" w:themeColor="text1"/>
                <w:sz w:val="28"/>
                <w:szCs w:val="20"/>
              </w:rPr>
            </w:pPr>
            <w:r w:rsidRPr="00500CAC">
              <w:rPr>
                <w:rFonts w:ascii="標楷體" w:eastAsia="標楷體" w:hAnsi="標楷體" w:hint="eastAsia"/>
                <w:bCs/>
                <w:color w:val="000000" w:themeColor="text1"/>
                <w:sz w:val="28"/>
                <w:szCs w:val="20"/>
              </w:rPr>
              <w:t>就學貸款</w:t>
            </w:r>
            <w:bookmarkStart w:id="0" w:name="_GoBack"/>
            <w:bookmarkEnd w:id="0"/>
          </w:p>
        </w:tc>
      </w:tr>
      <w:tr w:rsidR="00F601A1" w:rsidRPr="00500CAC" w:rsidTr="003E5D5D">
        <w:trPr>
          <w:trHeight w:val="1033"/>
        </w:trPr>
        <w:tc>
          <w:tcPr>
            <w:tcW w:w="1369" w:type="dxa"/>
            <w:vAlign w:val="center"/>
          </w:tcPr>
          <w:p w:rsidR="00F601A1" w:rsidRPr="00500CAC" w:rsidRDefault="00F601A1"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承辦單位</w:t>
            </w:r>
          </w:p>
        </w:tc>
        <w:tc>
          <w:tcPr>
            <w:tcW w:w="8359" w:type="dxa"/>
            <w:vAlign w:val="center"/>
          </w:tcPr>
          <w:p w:rsidR="00F601A1" w:rsidRPr="00500CAC" w:rsidRDefault="00F601A1" w:rsidP="003E5D5D">
            <w:pPr>
              <w:ind w:leftChars="-75" w:left="-180" w:firstLine="160"/>
              <w:jc w:val="both"/>
              <w:rPr>
                <w:rFonts w:ascii="標楷體" w:eastAsia="標楷體" w:hAnsi="標楷體"/>
                <w:bCs/>
                <w:color w:val="000000" w:themeColor="text1"/>
                <w:sz w:val="28"/>
                <w:szCs w:val="20"/>
              </w:rPr>
            </w:pPr>
            <w:r w:rsidRPr="00500CAC">
              <w:rPr>
                <w:rFonts w:ascii="標楷體" w:eastAsia="標楷體" w:hAnsi="標楷體" w:hint="eastAsia"/>
                <w:bCs/>
                <w:color w:val="000000" w:themeColor="text1"/>
                <w:sz w:val="28"/>
                <w:szCs w:val="20"/>
              </w:rPr>
              <w:t>學</w:t>
            </w:r>
            <w:proofErr w:type="gramStart"/>
            <w:r w:rsidRPr="00500CAC">
              <w:rPr>
                <w:rFonts w:ascii="標楷體" w:eastAsia="標楷體" w:hAnsi="標楷體" w:hint="eastAsia"/>
                <w:bCs/>
                <w:color w:val="000000" w:themeColor="text1"/>
                <w:sz w:val="28"/>
                <w:szCs w:val="20"/>
              </w:rPr>
              <w:t>務</w:t>
            </w:r>
            <w:proofErr w:type="gramEnd"/>
            <w:r w:rsidRPr="00500CAC">
              <w:rPr>
                <w:rFonts w:ascii="標楷體" w:eastAsia="標楷體" w:hAnsi="標楷體" w:hint="eastAsia"/>
                <w:bCs/>
                <w:color w:val="000000" w:themeColor="text1"/>
                <w:sz w:val="28"/>
                <w:szCs w:val="20"/>
              </w:rPr>
              <w:t>處生輔組</w:t>
            </w:r>
          </w:p>
        </w:tc>
      </w:tr>
      <w:tr w:rsidR="00F601A1" w:rsidRPr="00500CAC" w:rsidTr="003E5D5D">
        <w:trPr>
          <w:trHeight w:val="618"/>
        </w:trPr>
        <w:tc>
          <w:tcPr>
            <w:tcW w:w="1369" w:type="dxa"/>
          </w:tcPr>
          <w:p w:rsidR="00F601A1" w:rsidRPr="00500CAC" w:rsidRDefault="00F601A1"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作業程序說明</w:t>
            </w:r>
          </w:p>
          <w:p w:rsidR="00F601A1" w:rsidRPr="00500CAC" w:rsidRDefault="00F601A1" w:rsidP="003E5D5D">
            <w:pPr>
              <w:jc w:val="center"/>
              <w:rPr>
                <w:rFonts w:ascii="標楷體" w:eastAsia="標楷體" w:hAnsi="標楷體"/>
                <w:bCs/>
                <w:color w:val="000000" w:themeColor="text1"/>
                <w:sz w:val="20"/>
                <w:szCs w:val="20"/>
              </w:rPr>
            </w:pPr>
          </w:p>
        </w:tc>
        <w:tc>
          <w:tcPr>
            <w:tcW w:w="8359" w:type="dxa"/>
          </w:tcPr>
          <w:p w:rsidR="00F601A1" w:rsidRPr="00500CAC" w:rsidRDefault="00F601A1" w:rsidP="00F601A1">
            <w:pPr>
              <w:numPr>
                <w:ilvl w:val="0"/>
                <w:numId w:val="16"/>
              </w:numPr>
              <w:adjustRightInd w:val="0"/>
              <w:snapToGrid w:val="0"/>
              <w:spacing w:line="40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每學期註冊日前受理當學期就學貸款申請，並經資料輸入台灣銀行以便核對當學期申請就學貸款人數與金額。</w:t>
            </w:r>
          </w:p>
          <w:p w:rsidR="00F601A1" w:rsidRPr="00500CAC" w:rsidRDefault="00F601A1" w:rsidP="00F601A1">
            <w:pPr>
              <w:numPr>
                <w:ilvl w:val="0"/>
                <w:numId w:val="16"/>
              </w:numPr>
              <w:adjustRightInd w:val="0"/>
              <w:snapToGrid w:val="0"/>
              <w:spacing w:line="40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依教育部規定，上傳就學貸款申請資料至財稅中心審核。</w:t>
            </w:r>
          </w:p>
          <w:p w:rsidR="00F601A1" w:rsidRPr="00500CAC" w:rsidRDefault="00F601A1" w:rsidP="00F601A1">
            <w:pPr>
              <w:numPr>
                <w:ilvl w:val="0"/>
                <w:numId w:val="16"/>
              </w:numPr>
              <w:adjustRightInd w:val="0"/>
              <w:snapToGrid w:val="0"/>
              <w:spacing w:line="40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財稅中心查核結果出爐後，再將資料分類，並通知不合格或需補正資料之學生。</w:t>
            </w:r>
          </w:p>
          <w:p w:rsidR="00F601A1" w:rsidRPr="00500CAC" w:rsidRDefault="00F601A1" w:rsidP="00F601A1">
            <w:pPr>
              <w:numPr>
                <w:ilvl w:val="0"/>
                <w:numId w:val="16"/>
              </w:numPr>
              <w:adjustRightInd w:val="0"/>
              <w:snapToGrid w:val="0"/>
              <w:spacing w:line="40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再將合格資料上傳至台灣銀行，待台灣銀行將當學期就學貸款金額匯入學校。</w:t>
            </w:r>
          </w:p>
          <w:p w:rsidR="00F601A1" w:rsidRPr="00500CAC" w:rsidRDefault="00F601A1" w:rsidP="00F601A1">
            <w:pPr>
              <w:numPr>
                <w:ilvl w:val="0"/>
                <w:numId w:val="16"/>
              </w:numPr>
              <w:adjustRightInd w:val="0"/>
              <w:snapToGrid w:val="0"/>
              <w:spacing w:line="40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學生多貸金額將</w:t>
            </w:r>
            <w:proofErr w:type="gramStart"/>
            <w:r w:rsidRPr="00500CAC">
              <w:rPr>
                <w:rFonts w:ascii="標楷體" w:eastAsia="標楷體" w:hAnsi="標楷體" w:hint="eastAsia"/>
                <w:color w:val="000000" w:themeColor="text1"/>
                <w:sz w:val="28"/>
              </w:rPr>
              <w:t>製作印領清冊</w:t>
            </w:r>
            <w:proofErr w:type="gramEnd"/>
            <w:r w:rsidRPr="00500CAC">
              <w:rPr>
                <w:rFonts w:ascii="標楷體" w:eastAsia="標楷體" w:hAnsi="標楷體" w:hint="eastAsia"/>
                <w:color w:val="000000" w:themeColor="text1"/>
                <w:sz w:val="28"/>
              </w:rPr>
              <w:t>送會計室核銷並退還。</w:t>
            </w:r>
          </w:p>
        </w:tc>
      </w:tr>
      <w:tr w:rsidR="00F601A1" w:rsidRPr="00500CAC" w:rsidTr="003E5D5D">
        <w:trPr>
          <w:trHeight w:val="618"/>
        </w:trPr>
        <w:tc>
          <w:tcPr>
            <w:tcW w:w="1369" w:type="dxa"/>
          </w:tcPr>
          <w:p w:rsidR="00F601A1" w:rsidRPr="00500CAC" w:rsidRDefault="00F601A1"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控制重點</w:t>
            </w:r>
          </w:p>
        </w:tc>
        <w:tc>
          <w:tcPr>
            <w:tcW w:w="8359" w:type="dxa"/>
            <w:vAlign w:val="center"/>
          </w:tcPr>
          <w:p w:rsidR="00F601A1" w:rsidRPr="00500CAC" w:rsidRDefault="00F601A1" w:rsidP="00F601A1">
            <w:pPr>
              <w:numPr>
                <w:ilvl w:val="0"/>
                <w:numId w:val="17"/>
              </w:num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申請及審核：確認當學期就學貸款人數及資料是否完整。</w:t>
            </w:r>
          </w:p>
          <w:p w:rsidR="00F601A1" w:rsidRPr="00500CAC" w:rsidRDefault="00F601A1" w:rsidP="00F601A1">
            <w:pPr>
              <w:numPr>
                <w:ilvl w:val="0"/>
                <w:numId w:val="17"/>
              </w:num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上傳財稅中心：將就學貸款學生資料鍵入台灣銀行就學貸款系統後上傳財稅中心審核。</w:t>
            </w:r>
          </w:p>
          <w:p w:rsidR="00F601A1" w:rsidRPr="00500CAC" w:rsidRDefault="00F601A1" w:rsidP="00F601A1">
            <w:pPr>
              <w:numPr>
                <w:ilvl w:val="0"/>
                <w:numId w:val="17"/>
              </w:num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配合教育部查核時間表進行上傳、複查並修正資料。</w:t>
            </w:r>
          </w:p>
          <w:p w:rsidR="00F601A1" w:rsidRPr="00500CAC" w:rsidRDefault="00F601A1" w:rsidP="00F601A1">
            <w:pPr>
              <w:numPr>
                <w:ilvl w:val="0"/>
                <w:numId w:val="17"/>
              </w:num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多貸金額退還學生。</w:t>
            </w:r>
          </w:p>
        </w:tc>
      </w:tr>
      <w:tr w:rsidR="00F601A1" w:rsidRPr="00500CAC" w:rsidTr="003E5D5D">
        <w:trPr>
          <w:trHeight w:val="1678"/>
        </w:trPr>
        <w:tc>
          <w:tcPr>
            <w:tcW w:w="1369" w:type="dxa"/>
            <w:vAlign w:val="center"/>
          </w:tcPr>
          <w:p w:rsidR="00F601A1" w:rsidRPr="00500CAC" w:rsidRDefault="00F601A1"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法令依據</w:t>
            </w:r>
          </w:p>
        </w:tc>
        <w:tc>
          <w:tcPr>
            <w:tcW w:w="8359" w:type="dxa"/>
            <w:vAlign w:val="center"/>
          </w:tcPr>
          <w:p w:rsidR="00F601A1" w:rsidRPr="00500CAC" w:rsidRDefault="00F601A1" w:rsidP="003E5D5D">
            <w:pPr>
              <w:snapToGrid w:val="0"/>
              <w:spacing w:line="360" w:lineRule="exact"/>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台灣銀行就學貸款申辦程序</w:t>
            </w:r>
          </w:p>
        </w:tc>
      </w:tr>
      <w:tr w:rsidR="00F601A1" w:rsidRPr="00500CAC" w:rsidTr="003E5D5D">
        <w:trPr>
          <w:trHeight w:val="1678"/>
        </w:trPr>
        <w:tc>
          <w:tcPr>
            <w:tcW w:w="1369" w:type="dxa"/>
            <w:vAlign w:val="center"/>
          </w:tcPr>
          <w:p w:rsidR="00F601A1" w:rsidRPr="00500CAC" w:rsidRDefault="00F601A1"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使用表單</w:t>
            </w:r>
          </w:p>
        </w:tc>
        <w:tc>
          <w:tcPr>
            <w:tcW w:w="8359" w:type="dxa"/>
            <w:vAlign w:val="center"/>
          </w:tcPr>
          <w:p w:rsidR="00F601A1" w:rsidRPr="00500CAC" w:rsidRDefault="00F601A1" w:rsidP="003E5D5D">
            <w:pPr>
              <w:snapToGrid w:val="0"/>
              <w:spacing w:line="36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本校就學貸款申請表</w:t>
            </w:r>
          </w:p>
          <w:p w:rsidR="00F601A1" w:rsidRPr="00500CAC" w:rsidRDefault="00F601A1" w:rsidP="003E5D5D">
            <w:pPr>
              <w:snapToGrid w:val="0"/>
              <w:spacing w:line="36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台灣銀行就學貸款申請書</w:t>
            </w:r>
          </w:p>
        </w:tc>
      </w:tr>
    </w:tbl>
    <w:tbl>
      <w:tblPr>
        <w:tblpPr w:leftFromText="180" w:rightFromText="180" w:vertAnchor="text" w:horzAnchor="margin" w:tblpY="30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40"/>
        <w:gridCol w:w="960"/>
        <w:gridCol w:w="960"/>
      </w:tblGrid>
      <w:tr w:rsidR="0082018B" w:rsidRPr="00500CAC" w:rsidTr="003E5D5D">
        <w:trPr>
          <w:trHeight w:val="1304"/>
        </w:trPr>
        <w:tc>
          <w:tcPr>
            <w:tcW w:w="9540" w:type="dxa"/>
            <w:gridSpan w:val="4"/>
            <w:shd w:val="clear" w:color="auto" w:fill="auto"/>
            <w:vAlign w:val="center"/>
          </w:tcPr>
          <w:p w:rsidR="0082018B" w:rsidRPr="00500CAC" w:rsidRDefault="0082018B" w:rsidP="0082018B">
            <w:pPr>
              <w:pStyle w:val="Web"/>
              <w:spacing w:before="0" w:beforeAutospacing="0" w:after="0" w:afterAutospacing="0" w:line="440" w:lineRule="exact"/>
              <w:ind w:leftChars="75" w:left="641" w:hangingChars="192" w:hanging="461"/>
              <w:jc w:val="center"/>
              <w:rPr>
                <w:rFonts w:ascii="標楷體" w:eastAsia="標楷體" w:hAnsi="標楷體" w:cs="Times New Roman"/>
                <w:b/>
                <w:color w:val="000000" w:themeColor="text1"/>
                <w:kern w:val="2"/>
              </w:rPr>
            </w:pPr>
            <w:r w:rsidRPr="00500CAC">
              <w:rPr>
                <w:rFonts w:ascii="標楷體" w:eastAsia="標楷體" w:hAnsi="標楷體" w:cs="Times New Roman" w:hint="eastAsia"/>
                <w:b/>
                <w:color w:val="000000" w:themeColor="text1"/>
                <w:kern w:val="2"/>
              </w:rPr>
              <w:t>學</w:t>
            </w:r>
            <w:proofErr w:type="gramStart"/>
            <w:r w:rsidRPr="00500CAC">
              <w:rPr>
                <w:rFonts w:ascii="標楷體" w:eastAsia="標楷體" w:hAnsi="標楷體" w:cs="Times New Roman" w:hint="eastAsia"/>
                <w:b/>
                <w:color w:val="000000" w:themeColor="text1"/>
                <w:kern w:val="2"/>
              </w:rPr>
              <w:t>務</w:t>
            </w:r>
            <w:proofErr w:type="gramEnd"/>
            <w:r w:rsidRPr="00500CAC">
              <w:rPr>
                <w:rFonts w:ascii="標楷體" w:eastAsia="標楷體" w:hAnsi="標楷體" w:cs="Times New Roman" w:hint="eastAsia"/>
                <w:b/>
                <w:color w:val="000000" w:themeColor="text1"/>
                <w:kern w:val="2"/>
              </w:rPr>
              <w:t>處內部控制制度作業層級自行檢查表</w:t>
            </w:r>
          </w:p>
          <w:p w:rsidR="0082018B" w:rsidRPr="00500CAC" w:rsidRDefault="0082018B" w:rsidP="0082018B">
            <w:pPr>
              <w:pStyle w:val="Web"/>
              <w:spacing w:before="0" w:beforeAutospacing="0" w:after="0" w:afterAutospacing="0" w:line="440" w:lineRule="exact"/>
              <w:ind w:leftChars="75" w:left="641" w:hangingChars="192" w:hanging="461"/>
              <w:jc w:val="center"/>
              <w:rPr>
                <w:rFonts w:ascii="標楷體" w:eastAsia="標楷體" w:hAnsi="標楷體" w:cs="Times New Roman"/>
                <w:b/>
                <w:color w:val="000000" w:themeColor="text1"/>
                <w:kern w:val="2"/>
              </w:rPr>
            </w:pPr>
            <w:r w:rsidRPr="00500CAC">
              <w:rPr>
                <w:rFonts w:ascii="標楷體" w:eastAsia="標楷體" w:hAnsi="標楷體" w:cs="Times New Roman" w:hint="eastAsia"/>
                <w:color w:val="000000" w:themeColor="text1"/>
                <w:kern w:val="2"/>
              </w:rPr>
              <w:t>____年度</w:t>
            </w:r>
          </w:p>
          <w:p w:rsidR="0082018B" w:rsidRPr="00500CAC" w:rsidRDefault="0082018B" w:rsidP="0082018B">
            <w:pPr>
              <w:pStyle w:val="Web"/>
              <w:spacing w:before="0" w:beforeAutospacing="0" w:after="0" w:afterAutospacing="0" w:line="400" w:lineRule="exact"/>
              <w:ind w:leftChars="75" w:left="641" w:hangingChars="192" w:hanging="461"/>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 xml:space="preserve">自行檢查單位：生輔組 </w:t>
            </w:r>
          </w:p>
          <w:p w:rsidR="0082018B" w:rsidRPr="00500CAC" w:rsidRDefault="0082018B" w:rsidP="0082018B">
            <w:pPr>
              <w:pStyle w:val="Web"/>
              <w:spacing w:before="0" w:beforeAutospacing="0" w:after="0" w:afterAutospacing="0" w:line="400" w:lineRule="exact"/>
              <w:ind w:leftChars="75" w:left="641" w:hangingChars="192" w:hanging="461"/>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作業類別(項目)：學生學雜費減免                  檢查日期：</w:t>
            </w:r>
            <w:r w:rsidRPr="00500CAC">
              <w:rPr>
                <w:rFonts w:ascii="標楷體" w:eastAsia="標楷體" w:hAnsi="標楷體" w:cs="Times New Roman" w:hint="eastAsia"/>
                <w:color w:val="000000" w:themeColor="text1"/>
                <w:kern w:val="2"/>
                <w:u w:val="single"/>
              </w:rPr>
              <w:t xml:space="preserve"> XXX </w:t>
            </w:r>
            <w:r w:rsidRPr="00500CAC">
              <w:rPr>
                <w:rFonts w:ascii="標楷體" w:eastAsia="標楷體" w:hAnsi="標楷體" w:cs="Times New Roman" w:hint="eastAsia"/>
                <w:color w:val="000000" w:themeColor="text1"/>
                <w:kern w:val="2"/>
              </w:rPr>
              <w:t>年</w:t>
            </w:r>
            <w:r w:rsidRPr="00500CAC">
              <w:rPr>
                <w:rFonts w:ascii="標楷體" w:eastAsia="標楷體" w:hAnsi="標楷體" w:cs="Times New Roman" w:hint="eastAsia"/>
                <w:color w:val="000000" w:themeColor="text1"/>
                <w:kern w:val="2"/>
                <w:u w:val="single"/>
              </w:rPr>
              <w:t xml:space="preserve"> XX</w:t>
            </w:r>
            <w:r w:rsidRPr="00500CAC">
              <w:rPr>
                <w:rFonts w:ascii="標楷體" w:eastAsia="標楷體" w:hAnsi="標楷體" w:cs="Times New Roman" w:hint="eastAsia"/>
                <w:color w:val="000000" w:themeColor="text1"/>
                <w:kern w:val="2"/>
              </w:rPr>
              <w:t>月</w:t>
            </w:r>
            <w:r w:rsidRPr="00500CAC">
              <w:rPr>
                <w:rFonts w:ascii="標楷體" w:eastAsia="標楷體" w:hAnsi="標楷體" w:cs="Times New Roman" w:hint="eastAsia"/>
                <w:color w:val="000000" w:themeColor="text1"/>
                <w:kern w:val="2"/>
                <w:u w:val="single"/>
              </w:rPr>
              <w:t xml:space="preserve"> XX</w:t>
            </w:r>
            <w:r w:rsidRPr="00500CAC">
              <w:rPr>
                <w:rFonts w:ascii="標楷體" w:eastAsia="標楷體" w:hAnsi="標楷體" w:cs="Times New Roman" w:hint="eastAsia"/>
                <w:color w:val="000000" w:themeColor="text1"/>
                <w:kern w:val="2"/>
              </w:rPr>
              <w:t>日</w:t>
            </w:r>
          </w:p>
        </w:tc>
      </w:tr>
      <w:tr w:rsidR="0082018B" w:rsidRPr="00500CAC" w:rsidTr="003E5D5D">
        <w:trPr>
          <w:trHeight w:val="387"/>
        </w:trPr>
        <w:tc>
          <w:tcPr>
            <w:tcW w:w="6780" w:type="dxa"/>
            <w:vMerge w:val="restart"/>
            <w:shd w:val="clear" w:color="auto" w:fill="auto"/>
            <w:vAlign w:val="center"/>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檢查重點</w:t>
            </w:r>
          </w:p>
        </w:tc>
        <w:tc>
          <w:tcPr>
            <w:tcW w:w="1800" w:type="dxa"/>
            <w:gridSpan w:val="2"/>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自行檢查情形</w:t>
            </w:r>
          </w:p>
        </w:tc>
        <w:tc>
          <w:tcPr>
            <w:tcW w:w="960" w:type="dxa"/>
            <w:vMerge w:val="restart"/>
            <w:shd w:val="clear" w:color="auto" w:fill="auto"/>
            <w:vAlign w:val="center"/>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檢查情形說明</w:t>
            </w:r>
          </w:p>
        </w:tc>
      </w:tr>
      <w:tr w:rsidR="0082018B" w:rsidRPr="00500CAC" w:rsidTr="003E5D5D">
        <w:trPr>
          <w:trHeight w:val="299"/>
        </w:trPr>
        <w:tc>
          <w:tcPr>
            <w:tcW w:w="6780" w:type="dxa"/>
            <w:vMerge/>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rPr>
                <w:rFonts w:ascii="標楷體" w:eastAsia="標楷體" w:hAnsi="標楷體" w:cs="Times New Roman"/>
                <w:color w:val="000000" w:themeColor="text1"/>
                <w:kern w:val="2"/>
              </w:rPr>
            </w:pPr>
          </w:p>
        </w:tc>
        <w:tc>
          <w:tcPr>
            <w:tcW w:w="840" w:type="dxa"/>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符合</w:t>
            </w:r>
          </w:p>
        </w:tc>
        <w:tc>
          <w:tcPr>
            <w:tcW w:w="960" w:type="dxa"/>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rPr>
            </w:pPr>
            <w:r w:rsidRPr="00500CAC">
              <w:rPr>
                <w:rFonts w:ascii="標楷體" w:eastAsia="標楷體" w:hAnsi="標楷體" w:cs="Times New Roman" w:hint="eastAsia"/>
                <w:color w:val="000000" w:themeColor="text1"/>
                <w:kern w:val="2"/>
              </w:rPr>
              <w:t>未符合</w:t>
            </w:r>
          </w:p>
        </w:tc>
        <w:tc>
          <w:tcPr>
            <w:tcW w:w="960" w:type="dxa"/>
            <w:vMerge/>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rPr>
                <w:rFonts w:ascii="標楷體" w:eastAsia="標楷體" w:hAnsi="標楷體" w:cs="Times New Roman"/>
                <w:color w:val="000000" w:themeColor="text1"/>
                <w:kern w:val="2"/>
              </w:rPr>
            </w:pPr>
          </w:p>
        </w:tc>
      </w:tr>
      <w:tr w:rsidR="0082018B" w:rsidRPr="00500CAC" w:rsidTr="003E5D5D">
        <w:trPr>
          <w:trHeight w:val="239"/>
        </w:trPr>
        <w:tc>
          <w:tcPr>
            <w:tcW w:w="6780" w:type="dxa"/>
            <w:tcBorders>
              <w:bottom w:val="single" w:sz="4" w:space="0" w:color="auto"/>
            </w:tcBorders>
            <w:shd w:val="clear" w:color="auto" w:fill="auto"/>
          </w:tcPr>
          <w:p w:rsidR="0082018B" w:rsidRPr="00500CAC" w:rsidRDefault="0082018B" w:rsidP="003E5D5D">
            <w:pPr>
              <w:spacing w:line="360" w:lineRule="exact"/>
              <w:ind w:left="372" w:hangingChars="155" w:hanging="372"/>
              <w:rPr>
                <w:rFonts w:ascii="標楷體" w:eastAsia="標楷體" w:hAnsi="標楷體"/>
                <w:color w:val="000000" w:themeColor="text1"/>
              </w:rPr>
            </w:pPr>
            <w:r w:rsidRPr="00500CAC">
              <w:rPr>
                <w:rFonts w:ascii="標楷體" w:eastAsia="標楷體" w:hAnsi="標楷體" w:hint="eastAsia"/>
                <w:color w:val="000000" w:themeColor="text1"/>
              </w:rPr>
              <w:lastRenderedPageBreak/>
              <w:t>一、作業程序說明表及作業流程圖之製作是否與規定相符。</w:t>
            </w:r>
          </w:p>
          <w:p w:rsidR="0082018B" w:rsidRPr="00500CAC" w:rsidRDefault="0082018B" w:rsidP="0082018B">
            <w:pPr>
              <w:pStyle w:val="Web"/>
              <w:spacing w:before="0" w:beforeAutospacing="0" w:after="0" w:afterAutospacing="0" w:line="440" w:lineRule="exact"/>
              <w:ind w:leftChars="-45" w:left="-108" w:firstLineChars="45" w:firstLine="108"/>
              <w:rPr>
                <w:rFonts w:ascii="標楷體" w:eastAsia="標楷體" w:hAnsi="標楷體" w:cs="Times New Roman"/>
                <w:color w:val="000000" w:themeColor="text1"/>
                <w:kern w:val="2"/>
              </w:rPr>
            </w:pPr>
            <w:r w:rsidRPr="00500CAC">
              <w:rPr>
                <w:rFonts w:ascii="標楷體" w:eastAsia="標楷體" w:hAnsi="標楷體" w:hint="eastAsia"/>
                <w:color w:val="000000" w:themeColor="text1"/>
              </w:rPr>
              <w:t>二、內部控制制度是否有效設計及執行。</w:t>
            </w:r>
          </w:p>
        </w:tc>
        <w:tc>
          <w:tcPr>
            <w:tcW w:w="840" w:type="dxa"/>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sz w:val="28"/>
                <w:szCs w:val="28"/>
              </w:rPr>
            </w:pPr>
          </w:p>
        </w:tc>
        <w:tc>
          <w:tcPr>
            <w:tcW w:w="960" w:type="dxa"/>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jc w:val="center"/>
              <w:rPr>
                <w:rFonts w:ascii="標楷體" w:eastAsia="標楷體" w:hAnsi="標楷體" w:cs="Times New Roman"/>
                <w:color w:val="000000" w:themeColor="text1"/>
                <w:kern w:val="2"/>
                <w:sz w:val="28"/>
                <w:szCs w:val="28"/>
              </w:rPr>
            </w:pPr>
          </w:p>
        </w:tc>
        <w:tc>
          <w:tcPr>
            <w:tcW w:w="960" w:type="dxa"/>
            <w:tcBorders>
              <w:bottom w:val="single" w:sz="4" w:space="0" w:color="auto"/>
            </w:tcBorders>
            <w:shd w:val="clear" w:color="auto" w:fill="auto"/>
          </w:tcPr>
          <w:p w:rsidR="0082018B" w:rsidRPr="00500CAC" w:rsidRDefault="0082018B" w:rsidP="003E5D5D">
            <w:pPr>
              <w:pStyle w:val="Web"/>
              <w:spacing w:before="0" w:beforeAutospacing="0" w:after="0" w:afterAutospacing="0" w:line="440" w:lineRule="exact"/>
              <w:rPr>
                <w:rFonts w:ascii="標楷體" w:eastAsia="標楷體" w:hAnsi="標楷體" w:cs="Times New Roman"/>
                <w:color w:val="000000" w:themeColor="text1"/>
                <w:kern w:val="2"/>
              </w:rPr>
            </w:pPr>
          </w:p>
        </w:tc>
      </w:tr>
      <w:tr w:rsidR="0082018B" w:rsidRPr="00500CAC" w:rsidTr="003E5D5D">
        <w:tc>
          <w:tcPr>
            <w:tcW w:w="6780" w:type="dxa"/>
            <w:tcBorders>
              <w:top w:val="single" w:sz="4" w:space="0" w:color="auto"/>
              <w:bottom w:val="nil"/>
            </w:tcBorders>
            <w:shd w:val="clear" w:color="auto" w:fill="auto"/>
          </w:tcPr>
          <w:p w:rsidR="0082018B" w:rsidRPr="00500CAC" w:rsidRDefault="0082018B" w:rsidP="003E5D5D">
            <w:pPr>
              <w:spacing w:line="360" w:lineRule="exact"/>
              <w:rPr>
                <w:rFonts w:ascii="標楷體" w:eastAsia="標楷體" w:hAnsi="標楷體"/>
                <w:b/>
                <w:snapToGrid w:val="0"/>
                <w:color w:val="000000" w:themeColor="text1"/>
              </w:rPr>
            </w:pPr>
            <w:r w:rsidRPr="00500CAC">
              <w:rPr>
                <w:rFonts w:ascii="標楷體" w:eastAsia="標楷體" w:hAnsi="標楷體" w:hint="eastAsia"/>
                <w:b/>
                <w:snapToGrid w:val="0"/>
                <w:color w:val="000000" w:themeColor="text1"/>
              </w:rPr>
              <w:t>學生學雜費減免</w:t>
            </w:r>
          </w:p>
          <w:p w:rsidR="0082018B" w:rsidRPr="00500CAC" w:rsidRDefault="0082018B" w:rsidP="003E5D5D">
            <w:pPr>
              <w:snapToGrid w:val="0"/>
              <w:spacing w:line="400" w:lineRule="exact"/>
              <w:jc w:val="both"/>
              <w:rPr>
                <w:rFonts w:ascii="標楷體" w:eastAsia="標楷體" w:hAnsi="標楷體"/>
                <w:snapToGrid w:val="0"/>
                <w:color w:val="000000" w:themeColor="text1"/>
              </w:rPr>
            </w:pPr>
            <w:r w:rsidRPr="00500CAC">
              <w:rPr>
                <w:rFonts w:ascii="標楷體" w:eastAsia="標楷體" w:hAnsi="標楷體" w:hint="eastAsia"/>
                <w:snapToGrid w:val="0"/>
                <w:color w:val="000000" w:themeColor="text1"/>
              </w:rPr>
              <w:t>一、申請及審核：</w:t>
            </w:r>
          </w:p>
          <w:p w:rsidR="0082018B" w:rsidRPr="00500CAC" w:rsidRDefault="0082018B" w:rsidP="003E5D5D">
            <w:pPr>
              <w:snapToGrid w:val="0"/>
              <w:spacing w:line="400" w:lineRule="exact"/>
              <w:jc w:val="both"/>
              <w:rPr>
                <w:rFonts w:ascii="標楷體" w:eastAsia="標楷體" w:hAnsi="標楷體"/>
                <w:snapToGrid w:val="0"/>
                <w:color w:val="000000" w:themeColor="text1"/>
              </w:rPr>
            </w:pPr>
            <w:r w:rsidRPr="00500CAC">
              <w:rPr>
                <w:rFonts w:ascii="標楷體" w:eastAsia="標楷體" w:hAnsi="標楷體" w:hint="eastAsia"/>
                <w:snapToGrid w:val="0"/>
                <w:color w:val="000000" w:themeColor="text1"/>
              </w:rPr>
              <w:t xml:space="preserve"> (</w:t>
            </w:r>
            <w:proofErr w:type="gramStart"/>
            <w:r w:rsidRPr="00500CAC">
              <w:rPr>
                <w:rFonts w:ascii="標楷體" w:eastAsia="標楷體" w:hAnsi="標楷體" w:hint="eastAsia"/>
                <w:snapToGrid w:val="0"/>
                <w:color w:val="000000" w:themeColor="text1"/>
              </w:rPr>
              <w:t>一</w:t>
            </w:r>
            <w:proofErr w:type="gramEnd"/>
            <w:r w:rsidRPr="00500CAC">
              <w:rPr>
                <w:rFonts w:ascii="標楷體" w:eastAsia="標楷體" w:hAnsi="標楷體" w:hint="eastAsia"/>
                <w:snapToGrid w:val="0"/>
                <w:color w:val="000000" w:themeColor="text1"/>
              </w:rPr>
              <w:t>)相關法規是否已變動，並已更新網頁公告及申請表？</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snapToGrid w:val="0"/>
                <w:color w:val="000000" w:themeColor="text1"/>
              </w:rPr>
              <w:t xml:space="preserve"> (二)身份證明文件是否已過期需換證？</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(三)復學生申請者是否有同一教育階段已辦理減免？</w:t>
            </w:r>
          </w:p>
          <w:p w:rsidR="0082018B" w:rsidRPr="00500CAC" w:rsidRDefault="0082018B" w:rsidP="003E5D5D">
            <w:pPr>
              <w:snapToGrid w:val="0"/>
              <w:spacing w:line="400" w:lineRule="exact"/>
              <w:jc w:val="both"/>
              <w:rPr>
                <w:rFonts w:ascii="標楷體" w:eastAsia="標楷體" w:hAnsi="標楷體"/>
                <w:snapToGrid w:val="0"/>
                <w:color w:val="000000" w:themeColor="text1"/>
              </w:rPr>
            </w:pPr>
            <w:r w:rsidRPr="00500CAC">
              <w:rPr>
                <w:rFonts w:ascii="標楷體" w:eastAsia="標楷體" w:hAnsi="標楷體" w:hint="eastAsia"/>
                <w:snapToGrid w:val="0"/>
                <w:color w:val="000000" w:themeColor="text1"/>
              </w:rPr>
              <w:t>二、上傳校務系統：</w:t>
            </w:r>
          </w:p>
          <w:p w:rsidR="0082018B" w:rsidRPr="00500CAC" w:rsidRDefault="0082018B" w:rsidP="003E5D5D">
            <w:pPr>
              <w:snapToGrid w:val="0"/>
              <w:spacing w:line="400" w:lineRule="exact"/>
              <w:jc w:val="both"/>
              <w:rPr>
                <w:rFonts w:ascii="標楷體" w:eastAsia="標楷體" w:hAnsi="標楷體"/>
                <w:snapToGrid w:val="0"/>
                <w:color w:val="000000" w:themeColor="text1"/>
              </w:rPr>
            </w:pPr>
            <w:r w:rsidRPr="00500CAC">
              <w:rPr>
                <w:rFonts w:ascii="標楷體" w:eastAsia="標楷體" w:hAnsi="標楷體" w:hint="eastAsia"/>
                <w:snapToGrid w:val="0"/>
                <w:color w:val="000000" w:themeColor="text1"/>
              </w:rPr>
              <w:t xml:space="preserve"> (</w:t>
            </w:r>
            <w:proofErr w:type="gramStart"/>
            <w:r w:rsidRPr="00500CAC">
              <w:rPr>
                <w:rFonts w:ascii="標楷體" w:eastAsia="標楷體" w:hAnsi="標楷體" w:hint="eastAsia"/>
                <w:snapToGrid w:val="0"/>
                <w:color w:val="000000" w:themeColor="text1"/>
              </w:rPr>
              <w:t>一</w:t>
            </w:r>
            <w:proofErr w:type="gramEnd"/>
            <w:r w:rsidRPr="00500CAC">
              <w:rPr>
                <w:rFonts w:ascii="標楷體" w:eastAsia="標楷體" w:hAnsi="標楷體" w:hint="eastAsia"/>
                <w:snapToGrid w:val="0"/>
                <w:color w:val="000000" w:themeColor="text1"/>
              </w:rPr>
              <w:t>)檢查申請學生減免資格與校務系統鍵入代號資料是否符</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snapToGrid w:val="0"/>
                <w:color w:val="000000" w:themeColor="text1"/>
              </w:rPr>
              <w:t xml:space="preserve">     合？</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三、教育部助學措施平台系統查核：</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w:t>
            </w:r>
            <w:proofErr w:type="gramStart"/>
            <w:r w:rsidRPr="00500CAC">
              <w:rPr>
                <w:rFonts w:ascii="標楷體" w:eastAsia="標楷體" w:hAnsi="標楷體" w:hint="eastAsia"/>
                <w:color w:val="000000" w:themeColor="text1"/>
              </w:rPr>
              <w:t>一</w:t>
            </w:r>
            <w:proofErr w:type="gramEnd"/>
            <w:r w:rsidRPr="00500CAC">
              <w:rPr>
                <w:rFonts w:ascii="標楷體" w:eastAsia="標楷體" w:hAnsi="標楷體" w:hint="eastAsia"/>
                <w:color w:val="000000" w:themeColor="text1"/>
              </w:rPr>
              <w:t>)業務承辦人是否依據平台查核結果及時通知不合格檢證</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進行複查或繳回減免金額？</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(二)業務承辦人是否配合平台系統各項公告時間進行修正？</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四、會計核銷：</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w:t>
            </w:r>
            <w:proofErr w:type="gramStart"/>
            <w:r w:rsidRPr="00500CAC">
              <w:rPr>
                <w:rFonts w:ascii="標楷體" w:eastAsia="標楷體" w:hAnsi="標楷體" w:hint="eastAsia"/>
                <w:color w:val="000000" w:themeColor="text1"/>
              </w:rPr>
              <w:t>一</w:t>
            </w:r>
            <w:proofErr w:type="gramEnd"/>
            <w:r w:rsidRPr="00500CAC">
              <w:rPr>
                <w:rFonts w:ascii="標楷體" w:eastAsia="標楷體" w:hAnsi="標楷體" w:hint="eastAsia"/>
                <w:color w:val="000000" w:themeColor="text1"/>
              </w:rPr>
              <w:t>)</w:t>
            </w:r>
            <w:proofErr w:type="gramStart"/>
            <w:r w:rsidRPr="00500CAC">
              <w:rPr>
                <w:rFonts w:ascii="標楷體" w:eastAsia="標楷體" w:hAnsi="標楷體" w:hint="eastAsia"/>
                <w:color w:val="000000" w:themeColor="text1"/>
              </w:rPr>
              <w:t>本校印領清冊</w:t>
            </w:r>
            <w:proofErr w:type="gramEnd"/>
            <w:r w:rsidRPr="00500CAC">
              <w:rPr>
                <w:rFonts w:ascii="標楷體" w:eastAsia="標楷體" w:hAnsi="標楷體" w:hint="eastAsia"/>
                <w:color w:val="000000" w:themeColor="text1"/>
              </w:rPr>
              <w:t>核銷人數及金額是否與教育部助學措施平</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台一致。</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(二)業務承辦人是否於每學期依教育部來文期限</w:t>
            </w:r>
            <w:proofErr w:type="gramStart"/>
            <w:r w:rsidRPr="00500CAC">
              <w:rPr>
                <w:rFonts w:ascii="標楷體" w:eastAsia="標楷體" w:hAnsi="標楷體" w:hint="eastAsia"/>
                <w:color w:val="000000" w:themeColor="text1"/>
              </w:rPr>
              <w:t>內函</w:t>
            </w:r>
            <w:proofErr w:type="gramEnd"/>
            <w:r w:rsidRPr="00500CAC">
              <w:rPr>
                <w:rFonts w:ascii="標楷體" w:eastAsia="標楷體" w:hAnsi="標楷體" w:hint="eastAsia"/>
                <w:color w:val="000000" w:themeColor="text1"/>
              </w:rPr>
              <w:t>報減免</w:t>
            </w:r>
          </w:p>
          <w:p w:rsidR="0082018B" w:rsidRPr="00500CAC" w:rsidRDefault="0082018B" w:rsidP="003E5D5D">
            <w:pPr>
              <w:snapToGrid w:val="0"/>
              <w:spacing w:line="400" w:lineRule="exact"/>
              <w:jc w:val="both"/>
              <w:rPr>
                <w:rFonts w:ascii="標楷體" w:eastAsia="標楷體" w:hAnsi="標楷體"/>
                <w:color w:val="000000" w:themeColor="text1"/>
              </w:rPr>
            </w:pPr>
            <w:r w:rsidRPr="00500CAC">
              <w:rPr>
                <w:rFonts w:ascii="標楷體" w:eastAsia="標楷體" w:hAnsi="標楷體" w:hint="eastAsia"/>
                <w:color w:val="000000" w:themeColor="text1"/>
              </w:rPr>
              <w:t xml:space="preserve">     人數及金額彙整一覽表</w:t>
            </w:r>
          </w:p>
          <w:p w:rsidR="0082018B" w:rsidRPr="00500CAC" w:rsidRDefault="0082018B" w:rsidP="003E5D5D">
            <w:pPr>
              <w:spacing w:line="360" w:lineRule="exact"/>
              <w:rPr>
                <w:rFonts w:ascii="標楷體" w:eastAsia="標楷體" w:hAnsi="標楷體"/>
                <w:color w:val="000000" w:themeColor="text1"/>
              </w:rPr>
            </w:pPr>
            <w:r w:rsidRPr="00500CAC">
              <w:rPr>
                <w:rFonts w:ascii="標楷體" w:eastAsia="標楷體" w:hAnsi="標楷體" w:hint="eastAsia"/>
                <w:color w:val="000000" w:themeColor="text1"/>
                <w:sz w:val="28"/>
                <w:szCs w:val="28"/>
              </w:rPr>
              <w:t xml:space="preserve">    </w:t>
            </w:r>
          </w:p>
        </w:tc>
        <w:tc>
          <w:tcPr>
            <w:tcW w:w="840" w:type="dxa"/>
            <w:tcBorders>
              <w:top w:val="single" w:sz="4" w:space="0" w:color="auto"/>
              <w:bottom w:val="nil"/>
            </w:tcBorders>
            <w:shd w:val="clear" w:color="auto" w:fill="auto"/>
          </w:tcPr>
          <w:p w:rsidR="0082018B" w:rsidRPr="00500CAC" w:rsidRDefault="0082018B" w:rsidP="003E5D5D">
            <w:pPr>
              <w:pStyle w:val="Web"/>
              <w:spacing w:before="0" w:beforeAutospacing="0" w:after="0" w:afterAutospacing="0" w:line="320" w:lineRule="exact"/>
              <w:rPr>
                <w:rFonts w:ascii="標楷體" w:eastAsia="標楷體" w:hAnsi="標楷體" w:cs="Times New Roman"/>
                <w:color w:val="000000" w:themeColor="text1"/>
                <w:kern w:val="2"/>
              </w:rPr>
            </w:pPr>
          </w:p>
        </w:tc>
        <w:tc>
          <w:tcPr>
            <w:tcW w:w="960" w:type="dxa"/>
            <w:tcBorders>
              <w:top w:val="single" w:sz="4" w:space="0" w:color="auto"/>
              <w:bottom w:val="nil"/>
            </w:tcBorders>
            <w:shd w:val="clear" w:color="auto" w:fill="auto"/>
          </w:tcPr>
          <w:p w:rsidR="0082018B" w:rsidRPr="00500CAC" w:rsidRDefault="0082018B" w:rsidP="003E5D5D">
            <w:pPr>
              <w:pStyle w:val="Web"/>
              <w:spacing w:before="0" w:beforeAutospacing="0" w:after="0" w:afterAutospacing="0" w:line="320" w:lineRule="exact"/>
              <w:rPr>
                <w:rFonts w:ascii="標楷體" w:eastAsia="標楷體" w:hAnsi="標楷體" w:cs="Times New Roman"/>
                <w:color w:val="000000" w:themeColor="text1"/>
                <w:kern w:val="2"/>
              </w:rPr>
            </w:pPr>
          </w:p>
        </w:tc>
        <w:tc>
          <w:tcPr>
            <w:tcW w:w="960" w:type="dxa"/>
            <w:tcBorders>
              <w:top w:val="single" w:sz="4" w:space="0" w:color="auto"/>
              <w:bottom w:val="nil"/>
            </w:tcBorders>
            <w:shd w:val="clear" w:color="auto" w:fill="auto"/>
          </w:tcPr>
          <w:p w:rsidR="0082018B" w:rsidRPr="00500CAC" w:rsidRDefault="0082018B" w:rsidP="003E5D5D">
            <w:pPr>
              <w:pStyle w:val="Web"/>
              <w:spacing w:before="0" w:beforeAutospacing="0" w:after="0" w:afterAutospacing="0" w:line="320" w:lineRule="exact"/>
              <w:rPr>
                <w:rFonts w:ascii="標楷體" w:eastAsia="標楷體" w:hAnsi="標楷體" w:cs="Times New Roman"/>
                <w:color w:val="000000" w:themeColor="text1"/>
                <w:kern w:val="2"/>
              </w:rPr>
            </w:pPr>
          </w:p>
        </w:tc>
      </w:tr>
      <w:tr w:rsidR="0082018B" w:rsidRPr="00500CAC" w:rsidTr="003E5D5D">
        <w:tc>
          <w:tcPr>
            <w:tcW w:w="9540" w:type="dxa"/>
            <w:gridSpan w:val="4"/>
            <w:shd w:val="clear" w:color="auto" w:fill="auto"/>
          </w:tcPr>
          <w:p w:rsidR="0082018B" w:rsidRPr="00500CAC" w:rsidRDefault="0082018B" w:rsidP="003E5D5D">
            <w:pPr>
              <w:pStyle w:val="Web"/>
              <w:spacing w:before="0" w:beforeAutospacing="0" w:after="0" w:afterAutospacing="0" w:line="320" w:lineRule="exact"/>
              <w:rPr>
                <w:rFonts w:ascii="標楷體" w:eastAsia="標楷體" w:hAnsi="標楷體" w:cs="Times New Roman"/>
                <w:color w:val="000000" w:themeColor="text1"/>
                <w:kern w:val="2"/>
                <w:sz w:val="20"/>
                <w:szCs w:val="20"/>
              </w:rPr>
            </w:pPr>
            <w:r w:rsidRPr="00500CAC">
              <w:rPr>
                <w:rFonts w:ascii="標楷體" w:eastAsia="標楷體" w:hAnsi="標楷體" w:cs="Times New Roman" w:hint="eastAsia"/>
                <w:color w:val="000000" w:themeColor="text1"/>
                <w:kern w:val="2"/>
                <w:sz w:val="20"/>
                <w:szCs w:val="20"/>
              </w:rPr>
              <w:t>結論/需</w:t>
            </w:r>
            <w:proofErr w:type="gramStart"/>
            <w:r w:rsidRPr="00500CAC">
              <w:rPr>
                <w:rFonts w:ascii="標楷體" w:eastAsia="標楷體" w:hAnsi="標楷體" w:cs="Times New Roman" w:hint="eastAsia"/>
                <w:color w:val="000000" w:themeColor="text1"/>
                <w:kern w:val="2"/>
                <w:sz w:val="20"/>
                <w:szCs w:val="20"/>
              </w:rPr>
              <w:t>採</w:t>
            </w:r>
            <w:proofErr w:type="gramEnd"/>
            <w:r w:rsidRPr="00500CAC">
              <w:rPr>
                <w:rFonts w:ascii="標楷體" w:eastAsia="標楷體" w:hAnsi="標楷體" w:cs="Times New Roman" w:hint="eastAsia"/>
                <w:color w:val="000000" w:themeColor="text1"/>
                <w:kern w:val="2"/>
                <w:sz w:val="20"/>
                <w:szCs w:val="20"/>
              </w:rPr>
              <w:t>行之改善措施：</w:t>
            </w:r>
          </w:p>
          <w:p w:rsidR="0082018B" w:rsidRPr="00500CAC" w:rsidRDefault="0082018B" w:rsidP="003E5D5D">
            <w:pPr>
              <w:pStyle w:val="Web"/>
              <w:spacing w:before="0" w:beforeAutospacing="0" w:after="0" w:afterAutospacing="0" w:line="320" w:lineRule="exact"/>
              <w:rPr>
                <w:rFonts w:ascii="標楷體" w:eastAsia="標楷體" w:hAnsi="標楷體" w:cs="Times New Roman"/>
                <w:color w:val="000000" w:themeColor="text1"/>
                <w:kern w:val="2"/>
                <w:sz w:val="20"/>
                <w:szCs w:val="20"/>
              </w:rPr>
            </w:pPr>
          </w:p>
        </w:tc>
      </w:tr>
      <w:tr w:rsidR="0082018B" w:rsidRPr="00500CAC" w:rsidTr="003E5D5D">
        <w:tc>
          <w:tcPr>
            <w:tcW w:w="9540" w:type="dxa"/>
            <w:gridSpan w:val="4"/>
            <w:shd w:val="clear" w:color="auto" w:fill="auto"/>
          </w:tcPr>
          <w:p w:rsidR="0082018B" w:rsidRPr="00500CAC" w:rsidRDefault="0082018B" w:rsidP="003E5D5D">
            <w:pPr>
              <w:spacing w:line="400" w:lineRule="exact"/>
              <w:ind w:firstLineChars="150" w:firstLine="300"/>
              <w:rPr>
                <w:rFonts w:ascii="標楷體" w:eastAsia="標楷體" w:hAnsi="標楷體"/>
                <w:b/>
                <w:color w:val="000000" w:themeColor="text1"/>
                <w:sz w:val="20"/>
                <w:szCs w:val="20"/>
              </w:rPr>
            </w:pPr>
            <w:r w:rsidRPr="00500CAC">
              <w:rPr>
                <w:rFonts w:ascii="標楷體" w:eastAsia="標楷體" w:hAnsi="標楷體" w:hint="eastAsia"/>
                <w:color w:val="000000" w:themeColor="text1"/>
                <w:sz w:val="20"/>
                <w:szCs w:val="20"/>
              </w:rPr>
              <w:t xml:space="preserve">填表人：                        複核：                        單位主管：       </w:t>
            </w:r>
          </w:p>
        </w:tc>
      </w:tr>
    </w:tbl>
    <w:p w:rsidR="008374A7" w:rsidRPr="0082018B" w:rsidRDefault="008374A7" w:rsidP="0082018B"/>
    <w:sectPr w:rsidR="008374A7" w:rsidRPr="0082018B" w:rsidSect="003B30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76" w:rsidRDefault="00265976" w:rsidP="00BB2651">
      <w:r>
        <w:separator/>
      </w:r>
    </w:p>
  </w:endnote>
  <w:endnote w:type="continuationSeparator" w:id="0">
    <w:p w:rsidR="00265976" w:rsidRDefault="00265976" w:rsidP="00BB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76" w:rsidRDefault="00265976" w:rsidP="00BB2651">
      <w:r>
        <w:separator/>
      </w:r>
    </w:p>
  </w:footnote>
  <w:footnote w:type="continuationSeparator" w:id="0">
    <w:p w:rsidR="00265976" w:rsidRDefault="00265976" w:rsidP="00BB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EC8"/>
    <w:multiLevelType w:val="hybridMultilevel"/>
    <w:tmpl w:val="8B3E5B54"/>
    <w:lvl w:ilvl="0" w:tplc="052CC2CC">
      <w:start w:val="1"/>
      <w:numFmt w:val="taiwaneseCountingThousand"/>
      <w:lvlText w:val="%1、"/>
      <w:lvlJc w:val="left"/>
      <w:pPr>
        <w:tabs>
          <w:tab w:val="num" w:pos="684"/>
        </w:tabs>
        <w:ind w:left="684" w:hanging="7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
    <w:nsid w:val="0D9B2E00"/>
    <w:multiLevelType w:val="hybridMultilevel"/>
    <w:tmpl w:val="6D04C620"/>
    <w:lvl w:ilvl="0" w:tplc="DD464B2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73228"/>
    <w:multiLevelType w:val="hybridMultilevel"/>
    <w:tmpl w:val="EEE8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DD4A7D"/>
    <w:multiLevelType w:val="hybridMultilevel"/>
    <w:tmpl w:val="24F0807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7136A6"/>
    <w:multiLevelType w:val="hybridMultilevel"/>
    <w:tmpl w:val="736C5AEE"/>
    <w:lvl w:ilvl="0" w:tplc="45AA14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B077B4"/>
    <w:multiLevelType w:val="hybridMultilevel"/>
    <w:tmpl w:val="ECE83216"/>
    <w:lvl w:ilvl="0" w:tplc="47B08FD0">
      <w:start w:val="1"/>
      <w:numFmt w:val="taiwaneseCountingThousand"/>
      <w:lvlText w:val="(%1)"/>
      <w:lvlJc w:val="right"/>
      <w:pPr>
        <w:tabs>
          <w:tab w:val="num" w:pos="984"/>
        </w:tabs>
        <w:ind w:left="98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nsid w:val="2475659A"/>
    <w:multiLevelType w:val="hybridMultilevel"/>
    <w:tmpl w:val="3DAC68EC"/>
    <w:lvl w:ilvl="0" w:tplc="77F440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0D7A8C"/>
    <w:multiLevelType w:val="hybridMultilevel"/>
    <w:tmpl w:val="23480A9E"/>
    <w:lvl w:ilvl="0" w:tplc="0DCA65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02751B"/>
    <w:multiLevelType w:val="hybridMultilevel"/>
    <w:tmpl w:val="48A8B9A8"/>
    <w:lvl w:ilvl="0" w:tplc="1ED2D63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3FB7D04"/>
    <w:multiLevelType w:val="hybridMultilevel"/>
    <w:tmpl w:val="5BAE8A3E"/>
    <w:lvl w:ilvl="0" w:tplc="4C6C58A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0">
    <w:nsid w:val="57301760"/>
    <w:multiLevelType w:val="hybridMultilevel"/>
    <w:tmpl w:val="79DC90A8"/>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7BA3C2C"/>
    <w:multiLevelType w:val="hybridMultilevel"/>
    <w:tmpl w:val="04AC844C"/>
    <w:lvl w:ilvl="0" w:tplc="CBC270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E1C1A62"/>
    <w:multiLevelType w:val="hybridMultilevel"/>
    <w:tmpl w:val="7A661256"/>
    <w:lvl w:ilvl="0" w:tplc="178E1636">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21A3AD8"/>
    <w:multiLevelType w:val="hybridMultilevel"/>
    <w:tmpl w:val="41EEBB60"/>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825C80"/>
    <w:multiLevelType w:val="hybridMultilevel"/>
    <w:tmpl w:val="B7D4BB10"/>
    <w:lvl w:ilvl="0" w:tplc="05D2B8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E5794B"/>
    <w:multiLevelType w:val="hybridMultilevel"/>
    <w:tmpl w:val="6CDA6584"/>
    <w:lvl w:ilvl="0" w:tplc="04090015">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E874F76"/>
    <w:multiLevelType w:val="hybridMultilevel"/>
    <w:tmpl w:val="62EC653A"/>
    <w:lvl w:ilvl="0" w:tplc="47B08FD0">
      <w:start w:val="1"/>
      <w:numFmt w:val="taiwaneseCountingThousand"/>
      <w:lvlText w:val="(%1)"/>
      <w:lvlJc w:val="right"/>
      <w:pPr>
        <w:tabs>
          <w:tab w:val="num" w:pos="984"/>
        </w:tabs>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num w:numId="1">
    <w:abstractNumId w:val="5"/>
  </w:num>
  <w:num w:numId="2">
    <w:abstractNumId w:val="1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4"/>
  </w:num>
  <w:num w:numId="9">
    <w:abstractNumId w:val="15"/>
  </w:num>
  <w:num w:numId="10">
    <w:abstractNumId w:val="2"/>
  </w:num>
  <w:num w:numId="11">
    <w:abstractNumId w:val="14"/>
  </w:num>
  <w:num w:numId="12">
    <w:abstractNumId w:val="0"/>
  </w:num>
  <w:num w:numId="13">
    <w:abstractNumId w:val="12"/>
  </w:num>
  <w:num w:numId="14">
    <w:abstractNumId w:val="6"/>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3"/>
    <w:rsid w:val="000308D8"/>
    <w:rsid w:val="000B0C87"/>
    <w:rsid w:val="001D58EA"/>
    <w:rsid w:val="00265976"/>
    <w:rsid w:val="002D2F2E"/>
    <w:rsid w:val="003B302C"/>
    <w:rsid w:val="003C4B18"/>
    <w:rsid w:val="0043522B"/>
    <w:rsid w:val="004422D4"/>
    <w:rsid w:val="0047374D"/>
    <w:rsid w:val="005608AB"/>
    <w:rsid w:val="00583B1A"/>
    <w:rsid w:val="00591D22"/>
    <w:rsid w:val="005C5940"/>
    <w:rsid w:val="00650EDA"/>
    <w:rsid w:val="0082018B"/>
    <w:rsid w:val="008268B0"/>
    <w:rsid w:val="008374A7"/>
    <w:rsid w:val="00842FA8"/>
    <w:rsid w:val="0086194A"/>
    <w:rsid w:val="00A25781"/>
    <w:rsid w:val="00AE69C2"/>
    <w:rsid w:val="00BB2651"/>
    <w:rsid w:val="00C21913"/>
    <w:rsid w:val="00C775B5"/>
    <w:rsid w:val="00DA5ED4"/>
    <w:rsid w:val="00DF2C2A"/>
    <w:rsid w:val="00F601A1"/>
    <w:rsid w:val="00F74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2017-11-06T06:56:00Z</dcterms:created>
  <dcterms:modified xsi:type="dcterms:W3CDTF">2017-11-06T06:56:00Z</dcterms:modified>
</cp:coreProperties>
</file>